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5D69E" w14:textId="59DBE1C9" w:rsidR="00A71DA6" w:rsidRDefault="00A71DA6" w:rsidP="00A71DA6">
      <w:pPr>
        <w:pStyle w:val="Header"/>
        <w:tabs>
          <w:tab w:val="clear" w:pos="4153"/>
          <w:tab w:val="clear" w:pos="8306"/>
          <w:tab w:val="right" w:pos="9026"/>
        </w:tabs>
        <w:rPr>
          <w:b/>
          <w:sz w:val="24"/>
        </w:rPr>
      </w:pPr>
      <w:bookmarkStart w:id="0" w:name="_Hlk512609091"/>
      <w:r>
        <w:rPr>
          <w:b/>
          <w:sz w:val="24"/>
        </w:rPr>
        <w:t>3GPP TSG-RAN WG1 Meeting #96</w:t>
      </w:r>
      <w:r>
        <w:rPr>
          <w:b/>
          <w:sz w:val="24"/>
        </w:rPr>
        <w:tab/>
        <w:t>R1-</w:t>
      </w:r>
      <w:r w:rsidRPr="006E01DA">
        <w:rPr>
          <w:b/>
          <w:sz w:val="24"/>
        </w:rPr>
        <w:t>190</w:t>
      </w:r>
      <w:r w:rsidR="00D1518D">
        <w:rPr>
          <w:b/>
          <w:sz w:val="24"/>
        </w:rPr>
        <w:t>2390</w:t>
      </w:r>
    </w:p>
    <w:p w14:paraId="2D04BE87" w14:textId="11C710A4" w:rsidR="00BC0557" w:rsidRPr="00BC0557" w:rsidRDefault="00A71DA6" w:rsidP="00A71DA6">
      <w:pPr>
        <w:pStyle w:val="Header"/>
        <w:rPr>
          <w:b/>
          <w:sz w:val="24"/>
        </w:rPr>
      </w:pPr>
      <w:r>
        <w:rPr>
          <w:b/>
          <w:sz w:val="24"/>
        </w:rPr>
        <w:t>Athens, Greece 25 February – 01 March 2019</w:t>
      </w:r>
    </w:p>
    <w:bookmarkEnd w:id="0"/>
    <w:p w14:paraId="2A0E09CD" w14:textId="77777777" w:rsidR="00BC0557" w:rsidRDefault="00BC0557" w:rsidP="00BC0557"/>
    <w:p w14:paraId="779ABF42" w14:textId="0E719CDD" w:rsidR="00BC0557" w:rsidRPr="009D7E42" w:rsidRDefault="00BC0557" w:rsidP="00BC0557">
      <w:pPr>
        <w:tabs>
          <w:tab w:val="left" w:pos="1701"/>
        </w:tabs>
        <w:spacing w:after="60"/>
        <w:rPr>
          <w:bCs/>
          <w:color w:val="000000" w:themeColor="text1"/>
        </w:rPr>
      </w:pPr>
      <w:r w:rsidRPr="00BC0557">
        <w:rPr>
          <w:b/>
          <w:sz w:val="22"/>
        </w:rPr>
        <w:t>Agenda item:</w:t>
      </w:r>
      <w:r w:rsidRPr="009D7E42">
        <w:rPr>
          <w:color w:val="000000" w:themeColor="text1"/>
        </w:rPr>
        <w:tab/>
      </w:r>
      <w:r w:rsidRPr="006E0CEC">
        <w:rPr>
          <w:color w:val="000000" w:themeColor="text1"/>
        </w:rPr>
        <w:t>7.2.4.</w:t>
      </w:r>
      <w:r w:rsidR="00BD6D85">
        <w:rPr>
          <w:color w:val="000000" w:themeColor="text1"/>
        </w:rPr>
        <w:t>2</w:t>
      </w:r>
    </w:p>
    <w:p w14:paraId="06A83340" w14:textId="6983D0A2" w:rsidR="00BC0557" w:rsidRPr="00D1518D" w:rsidRDefault="00BC0557" w:rsidP="00BC0557">
      <w:pPr>
        <w:tabs>
          <w:tab w:val="left" w:pos="1701"/>
        </w:tabs>
        <w:spacing w:after="60"/>
        <w:rPr>
          <w:bCs/>
          <w:color w:val="000000" w:themeColor="text1"/>
        </w:rPr>
      </w:pPr>
      <w:r w:rsidRPr="00D1518D">
        <w:rPr>
          <w:b/>
          <w:color w:val="000000" w:themeColor="text1"/>
          <w:sz w:val="22"/>
        </w:rPr>
        <w:t>Title:</w:t>
      </w:r>
      <w:r w:rsidRPr="00D1518D">
        <w:rPr>
          <w:b/>
          <w:color w:val="000000" w:themeColor="text1"/>
        </w:rPr>
        <w:tab/>
      </w:r>
      <w:r w:rsidR="0018639A" w:rsidRPr="00D1518D">
        <w:rPr>
          <w:color w:val="000000" w:themeColor="text1"/>
        </w:rPr>
        <w:t xml:space="preserve">Further </w:t>
      </w:r>
      <w:r w:rsidR="002F480D" w:rsidRPr="00D1518D">
        <w:rPr>
          <w:color w:val="000000" w:themeColor="text1"/>
        </w:rPr>
        <w:t>enhancements</w:t>
      </w:r>
      <w:r w:rsidR="00BD6D85" w:rsidRPr="00D1518D">
        <w:rPr>
          <w:color w:val="000000" w:themeColor="text1"/>
        </w:rPr>
        <w:t xml:space="preserve"> </w:t>
      </w:r>
      <w:r w:rsidR="0018639A" w:rsidRPr="00D1518D">
        <w:rPr>
          <w:color w:val="000000" w:themeColor="text1"/>
        </w:rPr>
        <w:t xml:space="preserve">on NR Uu </w:t>
      </w:r>
      <w:r w:rsidR="00BD6D85" w:rsidRPr="00D1518D">
        <w:rPr>
          <w:color w:val="000000" w:themeColor="text1"/>
        </w:rPr>
        <w:t>for NR-V2X</w:t>
      </w:r>
      <w:bookmarkStart w:id="1" w:name="_GoBack"/>
      <w:bookmarkEnd w:id="1"/>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121BDAD9" w14:textId="4DEF5831" w:rsidR="002F480D" w:rsidRPr="004A03BC" w:rsidRDefault="002F480D" w:rsidP="002F480D">
      <w:pPr>
        <w:pStyle w:val="BodyText"/>
        <w:rPr>
          <w:color w:val="000000" w:themeColor="text1"/>
          <w:sz w:val="20"/>
          <w:szCs w:val="20"/>
        </w:rPr>
      </w:pPr>
      <w:r w:rsidRPr="004A03BC">
        <w:rPr>
          <w:color w:val="000000" w:themeColor="text1"/>
          <w:sz w:val="20"/>
          <w:szCs w:val="20"/>
        </w:rPr>
        <w:t xml:space="preserve">The </w:t>
      </w:r>
      <w:r w:rsidR="007A430C" w:rsidRPr="004A03BC">
        <w:rPr>
          <w:color w:val="000000" w:themeColor="text1"/>
          <w:sz w:val="20"/>
          <w:szCs w:val="20"/>
        </w:rPr>
        <w:t>evaluation of NR Uu</w:t>
      </w:r>
      <w:r w:rsidR="008C3113" w:rsidRPr="004A03BC">
        <w:rPr>
          <w:color w:val="000000" w:themeColor="text1"/>
          <w:sz w:val="20"/>
          <w:szCs w:val="20"/>
        </w:rPr>
        <w:t xml:space="preserve"> and enhancements</w:t>
      </w:r>
      <w:r w:rsidRPr="004A03BC">
        <w:rPr>
          <w:color w:val="000000" w:themeColor="text1"/>
          <w:sz w:val="20"/>
          <w:szCs w:val="20"/>
        </w:rPr>
        <w:t xml:space="preserve"> </w:t>
      </w:r>
      <w:r w:rsidR="008C3113" w:rsidRPr="004A03BC">
        <w:rPr>
          <w:color w:val="000000" w:themeColor="text1"/>
          <w:sz w:val="20"/>
          <w:szCs w:val="20"/>
        </w:rPr>
        <w:t>to support advanced V2X use cases</w:t>
      </w:r>
      <w:r w:rsidRPr="004A03BC">
        <w:rPr>
          <w:color w:val="000000" w:themeColor="text1"/>
          <w:sz w:val="20"/>
          <w:szCs w:val="20"/>
        </w:rPr>
        <w:t xml:space="preserve"> </w:t>
      </w:r>
      <w:r w:rsidR="00AC3DEB" w:rsidRPr="004A03BC">
        <w:rPr>
          <w:color w:val="000000" w:themeColor="text1"/>
          <w:sz w:val="20"/>
          <w:szCs w:val="20"/>
        </w:rPr>
        <w:t>were</w:t>
      </w:r>
      <w:r w:rsidRPr="004A03BC">
        <w:rPr>
          <w:color w:val="000000" w:themeColor="text1"/>
          <w:sz w:val="20"/>
          <w:szCs w:val="20"/>
        </w:rPr>
        <w:t xml:space="preserve"> discussed in RAN1</w:t>
      </w:r>
      <w:r w:rsidR="0011674C" w:rsidRPr="004A03BC">
        <w:rPr>
          <w:color w:val="000000" w:themeColor="text1"/>
          <w:sz w:val="20"/>
          <w:szCs w:val="20"/>
        </w:rPr>
        <w:t>-AH</w:t>
      </w:r>
      <w:r w:rsidRPr="004A03BC">
        <w:rPr>
          <w:color w:val="000000" w:themeColor="text1"/>
          <w:sz w:val="20"/>
          <w:szCs w:val="20"/>
        </w:rPr>
        <w:t>#</w:t>
      </w:r>
      <w:r w:rsidR="0011674C" w:rsidRPr="004A03BC">
        <w:rPr>
          <w:color w:val="000000" w:themeColor="text1"/>
          <w:sz w:val="20"/>
          <w:szCs w:val="20"/>
        </w:rPr>
        <w:t>1901</w:t>
      </w:r>
      <w:r w:rsidRPr="004A03BC">
        <w:rPr>
          <w:color w:val="000000" w:themeColor="text1"/>
          <w:sz w:val="20"/>
          <w:szCs w:val="20"/>
        </w:rPr>
        <w:t xml:space="preserve">. In [1], </w:t>
      </w:r>
      <w:r w:rsidR="008C3113" w:rsidRPr="004A03BC">
        <w:rPr>
          <w:color w:val="000000" w:themeColor="text1"/>
          <w:sz w:val="20"/>
          <w:szCs w:val="20"/>
        </w:rPr>
        <w:t xml:space="preserve">the following </w:t>
      </w:r>
      <w:r w:rsidR="00EE40AD" w:rsidRPr="004A03BC">
        <w:rPr>
          <w:color w:val="000000" w:themeColor="text1"/>
          <w:sz w:val="20"/>
          <w:szCs w:val="20"/>
        </w:rPr>
        <w:t xml:space="preserve">conclusion and </w:t>
      </w:r>
      <w:r w:rsidR="008C3113" w:rsidRPr="004A03BC">
        <w:rPr>
          <w:color w:val="000000" w:themeColor="text1"/>
          <w:sz w:val="20"/>
          <w:szCs w:val="20"/>
        </w:rPr>
        <w:t xml:space="preserve">agreement were reached. </w:t>
      </w:r>
      <w:r w:rsidR="00EE40AD" w:rsidRPr="004A03BC">
        <w:rPr>
          <w:color w:val="000000" w:themeColor="text1"/>
          <w:sz w:val="20"/>
          <w:szCs w:val="20"/>
        </w:rPr>
        <w:t>Some other aspects relating V2X broadcast/multicast over Uu, multiple active UL configured grants, and sidelink traffic-related information to be reported over NR Uu to the network were also discussed. In this contribution, we share our view on these aspects.</w:t>
      </w:r>
    </w:p>
    <w:p w14:paraId="51A78236" w14:textId="77777777" w:rsidR="002F480D" w:rsidRPr="00F43AB1" w:rsidRDefault="002F480D" w:rsidP="002F480D">
      <w:pPr>
        <w:pStyle w:val="BodyText"/>
        <w:rPr>
          <w:color w:val="auto"/>
        </w:rPr>
      </w:pPr>
    </w:p>
    <w:tbl>
      <w:tblPr>
        <w:tblStyle w:val="TableGrid"/>
        <w:tblW w:w="0" w:type="auto"/>
        <w:tblLook w:val="04A0" w:firstRow="1" w:lastRow="0" w:firstColumn="1" w:lastColumn="0" w:noHBand="0" w:noVBand="1"/>
      </w:tblPr>
      <w:tblGrid>
        <w:gridCol w:w="9016"/>
      </w:tblGrid>
      <w:tr w:rsidR="002F480D" w14:paraId="66104024" w14:textId="77777777" w:rsidTr="007A225B">
        <w:tc>
          <w:tcPr>
            <w:tcW w:w="9016" w:type="dxa"/>
          </w:tcPr>
          <w:p w14:paraId="4D9D9304" w14:textId="77777777" w:rsidR="00852251" w:rsidRPr="00852251" w:rsidRDefault="00852251" w:rsidP="00852251">
            <w:pPr>
              <w:rPr>
                <w:rFonts w:ascii="Times New Roman" w:hAnsi="Times New Roman" w:cs="Times New Roman"/>
                <w:lang w:eastAsia="x-none"/>
              </w:rPr>
            </w:pPr>
            <w:r w:rsidRPr="00852251">
              <w:rPr>
                <w:rFonts w:ascii="Times New Roman" w:hAnsi="Times New Roman" w:cs="Times New Roman"/>
                <w:b/>
                <w:u w:val="single"/>
                <w:lang w:eastAsia="x-none"/>
              </w:rPr>
              <w:t>Conclusion</w:t>
            </w:r>
            <w:r w:rsidRPr="00852251">
              <w:rPr>
                <w:rFonts w:ascii="Times New Roman" w:hAnsi="Times New Roman" w:cs="Times New Roman"/>
                <w:lang w:eastAsia="x-none"/>
              </w:rPr>
              <w:t>:</w:t>
            </w:r>
          </w:p>
          <w:p w14:paraId="620158C5" w14:textId="642EAA2A" w:rsidR="00852251" w:rsidRPr="00852251" w:rsidRDefault="00852251" w:rsidP="00852251">
            <w:pPr>
              <w:pStyle w:val="ListParagraph"/>
              <w:numPr>
                <w:ilvl w:val="0"/>
                <w:numId w:val="14"/>
              </w:numPr>
              <w:spacing w:after="120"/>
              <w:ind w:leftChars="0"/>
              <w:jc w:val="both"/>
              <w:rPr>
                <w:rFonts w:ascii="Times New Roman" w:hAnsi="Times New Roman"/>
                <w:sz w:val="21"/>
                <w:szCs w:val="21"/>
                <w:lang w:eastAsia="ja-JP"/>
              </w:rPr>
            </w:pPr>
            <w:r w:rsidRPr="00852251">
              <w:rPr>
                <w:rFonts w:ascii="Times New Roman" w:hAnsi="Times New Roman"/>
                <w:sz w:val="21"/>
                <w:szCs w:val="21"/>
                <w:lang w:eastAsia="ja-JP"/>
              </w:rPr>
              <w:t>For type 2 configured grant, discuss signalling details and whether single DCI can activate/release multiple configured grants during WI (if included in the WI).</w:t>
            </w:r>
            <w:r w:rsidRPr="00852251">
              <w:rPr>
                <w:rFonts w:ascii="Times New Roman" w:hAnsi="Times New Roman"/>
                <w:sz w:val="21"/>
                <w:szCs w:val="21"/>
              </w:rPr>
              <w:t xml:space="preserve"> </w:t>
            </w:r>
          </w:p>
          <w:p w14:paraId="5DE5D3D6" w14:textId="77777777" w:rsidR="00852251" w:rsidRPr="00852251" w:rsidRDefault="00852251" w:rsidP="00852251">
            <w:pPr>
              <w:rPr>
                <w:rFonts w:ascii="Times New Roman" w:hAnsi="Times New Roman" w:cs="Times New Roman"/>
                <w:lang w:eastAsia="x-none"/>
              </w:rPr>
            </w:pPr>
            <w:r w:rsidRPr="00852251">
              <w:rPr>
                <w:rFonts w:ascii="Times New Roman" w:hAnsi="Times New Roman" w:cs="Times New Roman"/>
                <w:b/>
                <w:highlight w:val="green"/>
                <w:lang w:eastAsia="x-none"/>
              </w:rPr>
              <w:t>Agreements</w:t>
            </w:r>
            <w:r w:rsidRPr="00852251">
              <w:rPr>
                <w:rFonts w:ascii="Times New Roman" w:hAnsi="Times New Roman" w:cs="Times New Roman"/>
                <w:lang w:eastAsia="x-none"/>
              </w:rPr>
              <w:t>:</w:t>
            </w:r>
          </w:p>
          <w:p w14:paraId="535E5C85" w14:textId="655505E2" w:rsidR="002F480D" w:rsidRPr="00852251" w:rsidRDefault="00852251" w:rsidP="00852251">
            <w:pPr>
              <w:pStyle w:val="ListParagraph"/>
              <w:numPr>
                <w:ilvl w:val="0"/>
                <w:numId w:val="14"/>
              </w:numPr>
              <w:spacing w:after="60"/>
              <w:ind w:leftChars="0"/>
              <w:rPr>
                <w:rFonts w:ascii="Times New Roman" w:hAnsi="Times New Roman"/>
                <w:szCs w:val="20"/>
                <w:lang w:eastAsia="ja-JP"/>
              </w:rPr>
            </w:pPr>
            <w:r w:rsidRPr="00852251">
              <w:rPr>
                <w:rFonts w:ascii="Times New Roman" w:hAnsi="Times New Roman"/>
                <w:sz w:val="21"/>
                <w:szCs w:val="21"/>
                <w:lang w:eastAsia="ja-JP"/>
              </w:rPr>
              <w:t>A UE is not expected to transmit simultaneously according to more than one UL grant (e.g., dynamic or CG) in a given BWP.</w:t>
            </w:r>
          </w:p>
        </w:tc>
      </w:tr>
    </w:tbl>
    <w:p w14:paraId="18799F84" w14:textId="77777777" w:rsidR="002F480D" w:rsidRPr="00F43AB1" w:rsidRDefault="002F480D" w:rsidP="002F480D">
      <w:pPr>
        <w:pStyle w:val="BodyText"/>
        <w:rPr>
          <w:color w:val="auto"/>
        </w:rPr>
      </w:pPr>
    </w:p>
    <w:p w14:paraId="2DDFB004" w14:textId="77777777" w:rsidR="00BC0557" w:rsidRPr="00BC0557" w:rsidRDefault="00BC0557" w:rsidP="00BC0557">
      <w:pPr>
        <w:spacing w:after="120"/>
        <w:rPr>
          <w:b/>
          <w:sz w:val="22"/>
        </w:rPr>
      </w:pPr>
      <w:r w:rsidRPr="00BC0557">
        <w:rPr>
          <w:b/>
          <w:sz w:val="22"/>
        </w:rPr>
        <w:t>2. Discussion</w:t>
      </w:r>
    </w:p>
    <w:p w14:paraId="4868765D" w14:textId="22B59483" w:rsidR="00852251" w:rsidRPr="004A03BC" w:rsidRDefault="00EE40AD" w:rsidP="004A03BC">
      <w:pPr>
        <w:pStyle w:val="BodyText"/>
        <w:rPr>
          <w:color w:val="000000" w:themeColor="text1"/>
          <w:sz w:val="20"/>
          <w:szCs w:val="20"/>
        </w:rPr>
      </w:pPr>
      <w:r w:rsidRPr="004A03BC">
        <w:rPr>
          <w:color w:val="000000" w:themeColor="text1"/>
          <w:sz w:val="20"/>
          <w:szCs w:val="20"/>
        </w:rPr>
        <w:t xml:space="preserve">For </w:t>
      </w:r>
      <w:r w:rsidR="00852251" w:rsidRPr="004A03BC">
        <w:rPr>
          <w:color w:val="000000" w:themeColor="text1"/>
          <w:sz w:val="20"/>
          <w:szCs w:val="20"/>
        </w:rPr>
        <w:t>V2X message broadcast / multicast over Uu interface (using MBMS)</w:t>
      </w:r>
      <w:r w:rsidRPr="004A03BC">
        <w:rPr>
          <w:color w:val="000000" w:themeColor="text1"/>
          <w:sz w:val="20"/>
          <w:szCs w:val="20"/>
        </w:rPr>
        <w:t>, it</w:t>
      </w:r>
      <w:r w:rsidR="00852251" w:rsidRPr="004A03BC">
        <w:rPr>
          <w:color w:val="000000" w:themeColor="text1"/>
          <w:sz w:val="20"/>
          <w:szCs w:val="20"/>
        </w:rPr>
        <w:t xml:space="preserve"> </w:t>
      </w:r>
      <w:r w:rsidRPr="004A03BC">
        <w:rPr>
          <w:color w:val="000000" w:themeColor="text1"/>
          <w:sz w:val="20"/>
          <w:szCs w:val="20"/>
        </w:rPr>
        <w:t>is</w:t>
      </w:r>
      <w:r w:rsidR="00852251" w:rsidRPr="004A03BC">
        <w:rPr>
          <w:color w:val="000000" w:themeColor="text1"/>
          <w:sz w:val="20"/>
          <w:szCs w:val="20"/>
        </w:rPr>
        <w:t xml:space="preserve"> supported in LTE mainly for </w:t>
      </w:r>
    </w:p>
    <w:p w14:paraId="6A91B6A5" w14:textId="77777777" w:rsidR="00852251" w:rsidRPr="004A03BC" w:rsidRDefault="00852251" w:rsidP="00EE40AD">
      <w:pPr>
        <w:pStyle w:val="BodyText"/>
        <w:numPr>
          <w:ilvl w:val="0"/>
          <w:numId w:val="14"/>
        </w:numPr>
        <w:spacing w:after="60"/>
        <w:rPr>
          <w:color w:val="000000" w:themeColor="text1"/>
          <w:sz w:val="20"/>
          <w:szCs w:val="20"/>
        </w:rPr>
      </w:pPr>
      <w:r w:rsidRPr="004A03BC">
        <w:rPr>
          <w:color w:val="000000" w:themeColor="text1"/>
          <w:sz w:val="20"/>
          <w:szCs w:val="20"/>
        </w:rPr>
        <w:t>helping to deliver V2X messages to more UEs beyond reachable signal range (extending communication distance);</w:t>
      </w:r>
    </w:p>
    <w:p w14:paraId="7318CCD4" w14:textId="77777777" w:rsidR="00852251" w:rsidRPr="004A03BC" w:rsidRDefault="00852251" w:rsidP="00EE40AD">
      <w:pPr>
        <w:pStyle w:val="BodyText"/>
        <w:numPr>
          <w:ilvl w:val="0"/>
          <w:numId w:val="14"/>
        </w:numPr>
        <w:spacing w:after="60"/>
        <w:rPr>
          <w:color w:val="000000" w:themeColor="text1"/>
          <w:sz w:val="20"/>
          <w:szCs w:val="20"/>
        </w:rPr>
      </w:pPr>
      <w:r w:rsidRPr="004A03BC">
        <w:rPr>
          <w:color w:val="000000" w:themeColor="text1"/>
          <w:sz w:val="20"/>
          <w:szCs w:val="20"/>
        </w:rPr>
        <w:t>delivering network generated V2X messages to UEs on the road; and</w:t>
      </w:r>
    </w:p>
    <w:p w14:paraId="1976C8A5" w14:textId="77777777" w:rsidR="00852251" w:rsidRPr="004A03BC" w:rsidRDefault="00852251" w:rsidP="004A03BC">
      <w:pPr>
        <w:pStyle w:val="BodyText"/>
        <w:numPr>
          <w:ilvl w:val="0"/>
          <w:numId w:val="14"/>
        </w:numPr>
        <w:spacing w:after="120"/>
        <w:rPr>
          <w:color w:val="000000" w:themeColor="text1"/>
          <w:sz w:val="20"/>
          <w:szCs w:val="20"/>
        </w:rPr>
      </w:pPr>
      <w:r w:rsidRPr="004A03BC">
        <w:rPr>
          <w:color w:val="000000" w:themeColor="text1"/>
          <w:sz w:val="20"/>
          <w:szCs w:val="20"/>
        </w:rPr>
        <w:t>supporting groupcast communication.</w:t>
      </w:r>
    </w:p>
    <w:p w14:paraId="2B1B093B" w14:textId="078913C4" w:rsidR="00852251" w:rsidRPr="004A03BC" w:rsidRDefault="00852251" w:rsidP="00EE40AD">
      <w:pPr>
        <w:pStyle w:val="BodyText"/>
        <w:rPr>
          <w:color w:val="000000" w:themeColor="text1"/>
          <w:sz w:val="20"/>
          <w:szCs w:val="20"/>
        </w:rPr>
      </w:pPr>
      <w:r w:rsidRPr="004A03BC">
        <w:rPr>
          <w:color w:val="000000" w:themeColor="text1"/>
          <w:sz w:val="20"/>
          <w:szCs w:val="20"/>
        </w:rPr>
        <w:t>It is expected the same motivations are equally applicable for NR-V2X use cases as well.</w:t>
      </w:r>
      <w:r w:rsidR="00EE40AD" w:rsidRPr="004A03BC">
        <w:rPr>
          <w:color w:val="000000" w:themeColor="text1"/>
          <w:sz w:val="20"/>
          <w:szCs w:val="20"/>
        </w:rPr>
        <w:t xml:space="preserve"> </w:t>
      </w:r>
      <w:r w:rsidRPr="004A03BC">
        <w:rPr>
          <w:color w:val="000000" w:themeColor="text1"/>
          <w:sz w:val="20"/>
          <w:szCs w:val="20"/>
        </w:rPr>
        <w:t xml:space="preserve">However, the support of broadcast/multicast services over NR Uu is a significant technical </w:t>
      </w:r>
      <w:r w:rsidR="00EE40AD" w:rsidRPr="004A03BC">
        <w:rPr>
          <w:color w:val="000000" w:themeColor="text1"/>
          <w:sz w:val="20"/>
          <w:szCs w:val="20"/>
        </w:rPr>
        <w:t>feature</w:t>
      </w:r>
      <w:r w:rsidRPr="004A03BC">
        <w:rPr>
          <w:color w:val="000000" w:themeColor="text1"/>
          <w:sz w:val="20"/>
          <w:szCs w:val="20"/>
        </w:rPr>
        <w:t xml:space="preserve"> on its own. The introduction of this feature would also need to consider other applications and services at the same time such as DTV, life event broadcast, drone UEs, smartphone UEs and etc.</w:t>
      </w:r>
      <w:r w:rsidR="00EE40AD" w:rsidRPr="004A03BC">
        <w:rPr>
          <w:color w:val="000000" w:themeColor="text1"/>
          <w:sz w:val="20"/>
          <w:szCs w:val="20"/>
        </w:rPr>
        <w:t xml:space="preserve"> </w:t>
      </w:r>
      <w:r w:rsidRPr="004A03BC">
        <w:rPr>
          <w:color w:val="000000" w:themeColor="text1"/>
          <w:sz w:val="20"/>
          <w:szCs w:val="20"/>
        </w:rPr>
        <w:t xml:space="preserve">Therefore, </w:t>
      </w:r>
      <w:r w:rsidR="00EE40AD" w:rsidRPr="004A03BC">
        <w:rPr>
          <w:color w:val="000000" w:themeColor="text1"/>
          <w:sz w:val="20"/>
          <w:szCs w:val="20"/>
        </w:rPr>
        <w:t xml:space="preserve">in our view </w:t>
      </w:r>
      <w:r w:rsidRPr="004A03BC">
        <w:rPr>
          <w:color w:val="000000" w:themeColor="text1"/>
          <w:sz w:val="20"/>
          <w:szCs w:val="20"/>
        </w:rPr>
        <w:t>it is recommended that the support of V2X services using broadcast / multicast over NR Uu interface in the downlink is to be discussed in a separate RAN SI/WI.</w:t>
      </w:r>
    </w:p>
    <w:p w14:paraId="02945BF5" w14:textId="5BBEC8DA" w:rsidR="00EE40AD" w:rsidRPr="004A03BC" w:rsidRDefault="00EE40AD" w:rsidP="00EE40AD">
      <w:pPr>
        <w:pStyle w:val="BodyText"/>
        <w:rPr>
          <w:color w:val="000000" w:themeColor="text1"/>
          <w:sz w:val="20"/>
          <w:szCs w:val="20"/>
        </w:rPr>
      </w:pPr>
    </w:p>
    <w:p w14:paraId="412C2CE2" w14:textId="6E6F8362" w:rsidR="00EE40AD" w:rsidRPr="004A03BC" w:rsidRDefault="00EE40AD" w:rsidP="00EE40AD">
      <w:pPr>
        <w:pStyle w:val="BodyText"/>
        <w:rPr>
          <w:b/>
          <w:i/>
          <w:color w:val="000000" w:themeColor="text1"/>
          <w:sz w:val="20"/>
          <w:szCs w:val="20"/>
        </w:rPr>
      </w:pPr>
      <w:r w:rsidRPr="004A03BC">
        <w:rPr>
          <w:b/>
          <w:i/>
          <w:color w:val="000000" w:themeColor="text1"/>
          <w:sz w:val="20"/>
          <w:szCs w:val="20"/>
        </w:rPr>
        <w:t xml:space="preserve">Proposal 1: It is recommended that the support of V2X services using broadcast / multicast over NR Uu interface in the downlink is to be discussed in a separate RAN SI/WI. </w:t>
      </w:r>
    </w:p>
    <w:p w14:paraId="42CA08C2" w14:textId="77777777" w:rsidR="00EE40AD" w:rsidRPr="004A03BC" w:rsidRDefault="00EE40AD" w:rsidP="00EE40AD">
      <w:pPr>
        <w:pStyle w:val="BodyText"/>
        <w:rPr>
          <w:color w:val="000000" w:themeColor="text1"/>
          <w:sz w:val="20"/>
          <w:szCs w:val="20"/>
        </w:rPr>
      </w:pPr>
    </w:p>
    <w:p w14:paraId="473DD468" w14:textId="10986E3E" w:rsidR="00852251" w:rsidRPr="004A03BC" w:rsidRDefault="00852251" w:rsidP="00EE40AD">
      <w:pPr>
        <w:pStyle w:val="BodyText"/>
        <w:rPr>
          <w:color w:val="000000" w:themeColor="text1"/>
          <w:sz w:val="20"/>
          <w:szCs w:val="20"/>
        </w:rPr>
      </w:pPr>
      <w:r w:rsidRPr="004A03BC">
        <w:rPr>
          <w:color w:val="000000" w:themeColor="text1"/>
          <w:sz w:val="20"/>
          <w:szCs w:val="20"/>
        </w:rPr>
        <w:t>In RAN1#94bis, it was agreed NR supports having multiple active UL configured grants (as in LTE). The main motivations were to support UE simultaneously engaging in multiple V2X services, short latency transmissions and to save overhead of UL grants from dynamic signalling. For the same reasons, NR should also support having multiple active DL SPS processes as well.</w:t>
      </w:r>
    </w:p>
    <w:p w14:paraId="531505A3" w14:textId="77777777" w:rsidR="00EE40AD" w:rsidRPr="004A03BC" w:rsidRDefault="00EE40AD" w:rsidP="00EE40AD">
      <w:pPr>
        <w:rPr>
          <w:b/>
          <w:i/>
          <w:color w:val="000000" w:themeColor="text1"/>
          <w:sz w:val="20"/>
          <w:szCs w:val="20"/>
        </w:rPr>
      </w:pPr>
    </w:p>
    <w:p w14:paraId="448DFB92" w14:textId="47B0CBE7" w:rsidR="002347E5" w:rsidRPr="004A03BC" w:rsidRDefault="002347E5" w:rsidP="00947BB5">
      <w:pPr>
        <w:spacing w:after="240"/>
        <w:rPr>
          <w:b/>
          <w:i/>
          <w:color w:val="000000" w:themeColor="text1"/>
          <w:sz w:val="20"/>
          <w:szCs w:val="20"/>
        </w:rPr>
      </w:pPr>
      <w:r w:rsidRPr="004A03BC">
        <w:rPr>
          <w:b/>
          <w:i/>
          <w:color w:val="000000" w:themeColor="text1"/>
          <w:sz w:val="20"/>
          <w:szCs w:val="20"/>
        </w:rPr>
        <w:t xml:space="preserve">Proposal </w:t>
      </w:r>
      <w:r w:rsidR="00EE40AD" w:rsidRPr="004A03BC">
        <w:rPr>
          <w:b/>
          <w:i/>
          <w:color w:val="000000" w:themeColor="text1"/>
          <w:sz w:val="20"/>
          <w:szCs w:val="20"/>
        </w:rPr>
        <w:t>2</w:t>
      </w:r>
      <w:r w:rsidRPr="004A03BC">
        <w:rPr>
          <w:b/>
          <w:i/>
          <w:color w:val="000000" w:themeColor="text1"/>
          <w:sz w:val="20"/>
          <w:szCs w:val="20"/>
        </w:rPr>
        <w:t xml:space="preserve">: </w:t>
      </w:r>
      <w:r w:rsidR="00EE40AD" w:rsidRPr="004A03BC">
        <w:rPr>
          <w:b/>
          <w:i/>
          <w:color w:val="000000" w:themeColor="text1"/>
          <w:sz w:val="20"/>
          <w:szCs w:val="20"/>
        </w:rPr>
        <w:t>It is recommended NR should also support having multiple active DL SPS processes.</w:t>
      </w:r>
    </w:p>
    <w:p w14:paraId="728CB1D4" w14:textId="041452A8" w:rsidR="00E64289" w:rsidRPr="004A03BC" w:rsidRDefault="002512F3" w:rsidP="00AE3D30">
      <w:pPr>
        <w:rPr>
          <w:color w:val="000000" w:themeColor="text1"/>
          <w:sz w:val="20"/>
          <w:szCs w:val="20"/>
        </w:rPr>
      </w:pPr>
      <w:r w:rsidRPr="004A03BC">
        <w:rPr>
          <w:color w:val="000000" w:themeColor="text1"/>
          <w:sz w:val="20"/>
          <w:szCs w:val="20"/>
        </w:rPr>
        <w:t>For sidelink traffic-related information to be reported over NR Uu to the network as part of Uu enhancements, t</w:t>
      </w:r>
      <w:r w:rsidR="008A5454" w:rsidRPr="004A03BC">
        <w:rPr>
          <w:color w:val="000000" w:themeColor="text1"/>
          <w:sz w:val="20"/>
          <w:szCs w:val="20"/>
        </w:rPr>
        <w:t xml:space="preserve">he </w:t>
      </w:r>
      <w:r w:rsidR="00947BB5" w:rsidRPr="004A03BC">
        <w:rPr>
          <w:color w:val="000000" w:themeColor="text1"/>
          <w:sz w:val="20"/>
          <w:szCs w:val="20"/>
        </w:rPr>
        <w:t>same or similar set of V2X traffic-related information as in LTE-V2X would also seem necessary and could be used as a starting point for NR-V2X. Specifically, this includes traffic periodicity, timing offset, message size and packet latency requirement (if known).</w:t>
      </w:r>
      <w:r w:rsidR="00AE3D30" w:rsidRPr="004A03BC">
        <w:rPr>
          <w:color w:val="000000" w:themeColor="text1"/>
          <w:sz w:val="20"/>
          <w:szCs w:val="20"/>
        </w:rPr>
        <w:t xml:space="preserve"> </w:t>
      </w:r>
      <w:r w:rsidR="00947BB5" w:rsidRPr="004A03BC">
        <w:rPr>
          <w:color w:val="000000" w:themeColor="text1"/>
          <w:sz w:val="20"/>
          <w:szCs w:val="20"/>
        </w:rPr>
        <w:t xml:space="preserve">In addition, </w:t>
      </w:r>
      <w:r w:rsidR="00E64289" w:rsidRPr="004A03BC">
        <w:rPr>
          <w:color w:val="000000" w:themeColor="text1"/>
          <w:sz w:val="20"/>
          <w:szCs w:val="20"/>
        </w:rPr>
        <w:t>some sidelink-measurement related information should be also reported to the network such as</w:t>
      </w:r>
      <w:r w:rsidR="00E64289" w:rsidRPr="00EE40AD">
        <w:rPr>
          <w:color w:val="000000" w:themeColor="text1"/>
        </w:rPr>
        <w:t xml:space="preserve"> </w:t>
      </w:r>
      <w:r w:rsidR="00E64289" w:rsidRPr="004A03BC">
        <w:rPr>
          <w:color w:val="000000" w:themeColor="text1"/>
          <w:sz w:val="20"/>
          <w:szCs w:val="20"/>
        </w:rPr>
        <w:t>CBR of sidelink resource pools.</w:t>
      </w:r>
      <w:r w:rsidR="00AE3D30" w:rsidRPr="004A03BC">
        <w:rPr>
          <w:color w:val="000000" w:themeColor="text1"/>
          <w:sz w:val="20"/>
          <w:szCs w:val="20"/>
        </w:rPr>
        <w:t xml:space="preserve"> </w:t>
      </w:r>
      <w:r w:rsidR="00E64289" w:rsidRPr="004A03BC">
        <w:rPr>
          <w:color w:val="000000" w:themeColor="text1"/>
          <w:sz w:val="20"/>
          <w:szCs w:val="20"/>
        </w:rPr>
        <w:t xml:space="preserve">If </w:t>
      </w:r>
      <w:r w:rsidR="00AE3D30" w:rsidRPr="004A03BC">
        <w:rPr>
          <w:color w:val="000000" w:themeColor="text1"/>
          <w:sz w:val="20"/>
          <w:szCs w:val="20"/>
        </w:rPr>
        <w:t xml:space="preserve">the </w:t>
      </w:r>
      <w:r w:rsidR="00E64289" w:rsidRPr="004A03BC">
        <w:rPr>
          <w:color w:val="000000" w:themeColor="text1"/>
          <w:sz w:val="20"/>
          <w:szCs w:val="20"/>
        </w:rPr>
        <w:t xml:space="preserve">resource pool sharing </w:t>
      </w:r>
      <w:r w:rsidR="00AE3D30" w:rsidRPr="004A03BC">
        <w:rPr>
          <w:color w:val="000000" w:themeColor="text1"/>
          <w:sz w:val="20"/>
          <w:szCs w:val="20"/>
        </w:rPr>
        <w:t xml:space="preserve">feature </w:t>
      </w:r>
      <w:r w:rsidR="00E64289" w:rsidRPr="004A03BC">
        <w:rPr>
          <w:color w:val="000000" w:themeColor="text1"/>
          <w:sz w:val="20"/>
          <w:szCs w:val="20"/>
        </w:rPr>
        <w:t xml:space="preserve">should continue to be supported </w:t>
      </w:r>
      <w:r w:rsidR="00AE3D30" w:rsidRPr="004A03BC">
        <w:rPr>
          <w:color w:val="000000" w:themeColor="text1"/>
          <w:sz w:val="20"/>
          <w:szCs w:val="20"/>
        </w:rPr>
        <w:t>in</w:t>
      </w:r>
      <w:r w:rsidR="00E64289" w:rsidRPr="004A03BC">
        <w:rPr>
          <w:color w:val="000000" w:themeColor="text1"/>
          <w:sz w:val="20"/>
          <w:szCs w:val="20"/>
        </w:rPr>
        <w:t xml:space="preserve"> NR-</w:t>
      </w:r>
      <w:r w:rsidR="00E64289" w:rsidRPr="004A03BC">
        <w:rPr>
          <w:color w:val="000000" w:themeColor="text1"/>
          <w:sz w:val="20"/>
          <w:szCs w:val="20"/>
        </w:rPr>
        <w:lastRenderedPageBreak/>
        <w:t>V2X, a set of available SL resources (e.g. S</w:t>
      </w:r>
      <w:r w:rsidR="00E64289" w:rsidRPr="004A03BC">
        <w:rPr>
          <w:color w:val="000000" w:themeColor="text1"/>
          <w:sz w:val="20"/>
          <w:szCs w:val="20"/>
          <w:vertAlign w:val="subscript"/>
        </w:rPr>
        <w:t>B</w:t>
      </w:r>
      <w:r w:rsidR="00E64289" w:rsidRPr="004A03BC">
        <w:rPr>
          <w:color w:val="000000" w:themeColor="text1"/>
          <w:sz w:val="20"/>
          <w:szCs w:val="20"/>
        </w:rPr>
        <w:t xml:space="preserve"> in LTE) </w:t>
      </w:r>
      <w:r w:rsidR="00AE3D30" w:rsidRPr="004A03BC">
        <w:rPr>
          <w:color w:val="000000" w:themeColor="text1"/>
          <w:sz w:val="20"/>
          <w:szCs w:val="20"/>
        </w:rPr>
        <w:t>for the shared pool(s) are to be reported to the network as well.</w:t>
      </w:r>
    </w:p>
    <w:p w14:paraId="68112607" w14:textId="77777777" w:rsidR="008A5454" w:rsidRPr="004A03BC" w:rsidRDefault="008A5454" w:rsidP="002347E5">
      <w:pPr>
        <w:rPr>
          <w:b/>
          <w:i/>
          <w:color w:val="000000" w:themeColor="text1"/>
          <w:sz w:val="20"/>
          <w:szCs w:val="20"/>
        </w:rPr>
      </w:pPr>
    </w:p>
    <w:p w14:paraId="7D5D94FE" w14:textId="4E4D04CA" w:rsidR="00122C28" w:rsidRPr="004A03BC" w:rsidRDefault="00122C28" w:rsidP="00BC0557">
      <w:pPr>
        <w:rPr>
          <w:b/>
          <w:i/>
          <w:color w:val="000000" w:themeColor="text1"/>
          <w:sz w:val="20"/>
          <w:szCs w:val="20"/>
        </w:rPr>
      </w:pPr>
      <w:r w:rsidRPr="004A03BC">
        <w:rPr>
          <w:b/>
          <w:i/>
          <w:color w:val="000000" w:themeColor="text1"/>
          <w:sz w:val="20"/>
          <w:szCs w:val="20"/>
        </w:rPr>
        <w:t xml:space="preserve">Proposal </w:t>
      </w:r>
      <w:r w:rsidR="00EE40AD" w:rsidRPr="004A03BC">
        <w:rPr>
          <w:b/>
          <w:i/>
          <w:color w:val="000000" w:themeColor="text1"/>
          <w:sz w:val="20"/>
          <w:szCs w:val="20"/>
        </w:rPr>
        <w:t>3</w:t>
      </w:r>
      <w:r w:rsidRPr="004A03BC">
        <w:rPr>
          <w:b/>
          <w:i/>
          <w:color w:val="000000" w:themeColor="text1"/>
          <w:sz w:val="20"/>
          <w:szCs w:val="20"/>
        </w:rPr>
        <w:t xml:space="preserve">: </w:t>
      </w:r>
      <w:r w:rsidR="00EE3CC6" w:rsidRPr="004A03BC">
        <w:rPr>
          <w:rFonts w:hint="eastAsia"/>
          <w:b/>
          <w:i/>
          <w:color w:val="000000" w:themeColor="text1"/>
          <w:sz w:val="20"/>
          <w:szCs w:val="20"/>
          <w:lang w:val="en-AU"/>
        </w:rPr>
        <w:t>UE reporting over Uu of sidelink traffic-related information</w:t>
      </w:r>
      <w:r w:rsidR="00183059" w:rsidRPr="004A03BC">
        <w:rPr>
          <w:b/>
          <w:i/>
          <w:color w:val="000000" w:themeColor="text1"/>
          <w:sz w:val="20"/>
          <w:szCs w:val="20"/>
          <w:lang w:val="en-AU"/>
        </w:rPr>
        <w:t xml:space="preserve"> </w:t>
      </w:r>
      <w:r w:rsidR="00A956A2" w:rsidRPr="004A03BC">
        <w:rPr>
          <w:b/>
          <w:i/>
          <w:color w:val="000000" w:themeColor="text1"/>
          <w:sz w:val="20"/>
          <w:szCs w:val="20"/>
          <w:lang w:val="en-AU"/>
        </w:rPr>
        <w:t xml:space="preserve">could include </w:t>
      </w:r>
      <w:r w:rsidR="00EE3CC6" w:rsidRPr="004A03BC">
        <w:rPr>
          <w:rFonts w:hint="eastAsia"/>
          <w:b/>
          <w:i/>
          <w:color w:val="000000" w:themeColor="text1"/>
          <w:sz w:val="20"/>
          <w:szCs w:val="20"/>
          <w:lang w:val="en-US"/>
        </w:rPr>
        <w:t>Traffic periodicity, timing offset, message size and latency (if known)</w:t>
      </w:r>
      <w:r w:rsidR="00A956A2" w:rsidRPr="004A03BC">
        <w:rPr>
          <w:b/>
          <w:i/>
          <w:color w:val="000000" w:themeColor="text1"/>
          <w:sz w:val="20"/>
          <w:szCs w:val="20"/>
          <w:lang w:val="en-US"/>
        </w:rPr>
        <w:t xml:space="preserve">, </w:t>
      </w:r>
      <w:r w:rsidR="00EE3CC6" w:rsidRPr="004A03BC">
        <w:rPr>
          <w:rFonts w:hint="eastAsia"/>
          <w:b/>
          <w:i/>
          <w:color w:val="000000" w:themeColor="text1"/>
          <w:sz w:val="20"/>
          <w:szCs w:val="20"/>
          <w:lang w:val="en-US"/>
        </w:rPr>
        <w:t>CBR per resource pool</w:t>
      </w:r>
      <w:r w:rsidR="00A956A2" w:rsidRPr="004A03BC">
        <w:rPr>
          <w:b/>
          <w:i/>
          <w:color w:val="000000" w:themeColor="text1"/>
          <w:sz w:val="20"/>
          <w:szCs w:val="20"/>
          <w:lang w:val="en-US"/>
        </w:rPr>
        <w:t>, and a</w:t>
      </w:r>
      <w:r w:rsidR="00EE3CC6" w:rsidRPr="004A03BC">
        <w:rPr>
          <w:rFonts w:hint="eastAsia"/>
          <w:b/>
          <w:i/>
          <w:color w:val="000000" w:themeColor="text1"/>
          <w:sz w:val="20"/>
          <w:szCs w:val="20"/>
          <w:lang w:val="en-US"/>
        </w:rPr>
        <w:t>vailable resources (e.g. S</w:t>
      </w:r>
      <w:r w:rsidR="00EE3CC6" w:rsidRPr="004A03BC">
        <w:rPr>
          <w:rFonts w:hint="eastAsia"/>
          <w:b/>
          <w:i/>
          <w:color w:val="000000" w:themeColor="text1"/>
          <w:sz w:val="20"/>
          <w:szCs w:val="20"/>
          <w:vertAlign w:val="subscript"/>
          <w:lang w:val="en-US"/>
        </w:rPr>
        <w:t>B</w:t>
      </w:r>
      <w:r w:rsidR="00EE3CC6" w:rsidRPr="004A03BC">
        <w:rPr>
          <w:rFonts w:hint="eastAsia"/>
          <w:b/>
          <w:i/>
          <w:color w:val="000000" w:themeColor="text1"/>
          <w:sz w:val="20"/>
          <w:szCs w:val="20"/>
          <w:lang w:val="en-US"/>
        </w:rPr>
        <w:t xml:space="preserve"> in LTE) for mode 1 and mode 2 resource pool sharing</w:t>
      </w:r>
      <w:r w:rsidR="00A956A2" w:rsidRPr="004A03BC">
        <w:rPr>
          <w:b/>
          <w:i/>
          <w:color w:val="000000" w:themeColor="text1"/>
          <w:sz w:val="20"/>
          <w:szCs w:val="20"/>
          <w:lang w:val="en-US"/>
        </w:rPr>
        <w:t>.</w:t>
      </w:r>
    </w:p>
    <w:p w14:paraId="21BF44E1" w14:textId="175B61C4" w:rsidR="005A3678" w:rsidRPr="004A03BC" w:rsidRDefault="005A3678" w:rsidP="00BC0557">
      <w:pPr>
        <w:spacing w:after="120"/>
        <w:rPr>
          <w:b/>
          <w:sz w:val="20"/>
          <w:szCs w:val="20"/>
        </w:rPr>
      </w:pPr>
    </w:p>
    <w:p w14:paraId="3A91C9E1" w14:textId="3E6AC974" w:rsidR="00BC0557" w:rsidRPr="004A03BC" w:rsidRDefault="00BC0557" w:rsidP="00BC0557">
      <w:pPr>
        <w:spacing w:after="120"/>
        <w:rPr>
          <w:b/>
          <w:sz w:val="20"/>
          <w:szCs w:val="20"/>
        </w:rPr>
      </w:pPr>
      <w:r w:rsidRPr="004A03BC">
        <w:rPr>
          <w:b/>
          <w:sz w:val="20"/>
          <w:szCs w:val="20"/>
        </w:rPr>
        <w:t>3. Conclusion</w:t>
      </w:r>
    </w:p>
    <w:p w14:paraId="05FA8798" w14:textId="0631804C" w:rsidR="00BC0557" w:rsidRPr="004A03BC" w:rsidRDefault="006F5CF2" w:rsidP="004A03BC">
      <w:pPr>
        <w:pStyle w:val="BodyText"/>
        <w:rPr>
          <w:iCs/>
          <w:color w:val="000000" w:themeColor="text1"/>
          <w:sz w:val="20"/>
          <w:szCs w:val="20"/>
        </w:rPr>
      </w:pPr>
      <w:r w:rsidRPr="004A03BC">
        <w:rPr>
          <w:color w:val="000000" w:themeColor="text1"/>
          <w:sz w:val="20"/>
          <w:szCs w:val="20"/>
        </w:rPr>
        <w:t xml:space="preserve">In this contribution, we discussed </w:t>
      </w:r>
      <w:r w:rsidR="004A03BC" w:rsidRPr="004A03BC">
        <w:rPr>
          <w:color w:val="000000" w:themeColor="text1"/>
          <w:sz w:val="20"/>
          <w:szCs w:val="20"/>
        </w:rPr>
        <w:t>and provided our views on</w:t>
      </w:r>
      <w:r w:rsidRPr="004A03BC">
        <w:rPr>
          <w:color w:val="000000" w:themeColor="text1"/>
          <w:sz w:val="20"/>
          <w:szCs w:val="20"/>
        </w:rPr>
        <w:t xml:space="preserve"> </w:t>
      </w:r>
      <w:r w:rsidR="004A03BC" w:rsidRPr="004A03BC">
        <w:rPr>
          <w:color w:val="000000" w:themeColor="text1"/>
          <w:sz w:val="20"/>
          <w:szCs w:val="20"/>
        </w:rPr>
        <w:t>V2X broadcast/multicast over Uu, multiple active DL SPS processes, and sidelink traffic-related information to be reported over NR Uu to the network</w:t>
      </w:r>
      <w:r w:rsidRPr="004A03BC">
        <w:rPr>
          <w:color w:val="000000" w:themeColor="text1"/>
          <w:sz w:val="20"/>
          <w:szCs w:val="20"/>
        </w:rPr>
        <w:t>.</w:t>
      </w:r>
      <w:r w:rsidR="004A03BC" w:rsidRPr="004A03BC">
        <w:rPr>
          <w:color w:val="000000" w:themeColor="text1"/>
          <w:sz w:val="20"/>
          <w:szCs w:val="20"/>
        </w:rPr>
        <w:t xml:space="preserve"> </w:t>
      </w:r>
      <w:r w:rsidR="00BC0557" w:rsidRPr="004A03BC">
        <w:rPr>
          <w:iCs/>
          <w:color w:val="000000" w:themeColor="text1"/>
          <w:sz w:val="20"/>
          <w:szCs w:val="20"/>
        </w:rPr>
        <w:t xml:space="preserve">In summary, we </w:t>
      </w:r>
      <w:r w:rsidRPr="004A03BC">
        <w:rPr>
          <w:iCs/>
          <w:color w:val="000000" w:themeColor="text1"/>
          <w:sz w:val="20"/>
          <w:szCs w:val="20"/>
        </w:rPr>
        <w:t>made</w:t>
      </w:r>
      <w:r w:rsidR="00BC0557" w:rsidRPr="004A03BC">
        <w:rPr>
          <w:iCs/>
          <w:color w:val="000000" w:themeColor="text1"/>
          <w:sz w:val="20"/>
          <w:szCs w:val="20"/>
        </w:rPr>
        <w:t xml:space="preserve"> the following proposals:</w:t>
      </w:r>
    </w:p>
    <w:p w14:paraId="5A850248" w14:textId="3BB564E4" w:rsidR="008F22BA" w:rsidRPr="004A03BC" w:rsidRDefault="008F22BA" w:rsidP="00BC0557">
      <w:pPr>
        <w:rPr>
          <w:iCs/>
          <w:color w:val="000000" w:themeColor="text1"/>
          <w:sz w:val="20"/>
          <w:szCs w:val="20"/>
        </w:rPr>
      </w:pPr>
    </w:p>
    <w:p w14:paraId="02E309EC" w14:textId="77777777" w:rsidR="00EE40AD" w:rsidRPr="004A03BC" w:rsidRDefault="00EE40AD" w:rsidP="00EE40AD">
      <w:pPr>
        <w:pStyle w:val="BodyText"/>
        <w:rPr>
          <w:b/>
          <w:i/>
          <w:color w:val="000000" w:themeColor="text1"/>
          <w:sz w:val="20"/>
          <w:szCs w:val="20"/>
        </w:rPr>
      </w:pPr>
      <w:r w:rsidRPr="004A03BC">
        <w:rPr>
          <w:b/>
          <w:i/>
          <w:color w:val="000000" w:themeColor="text1"/>
          <w:sz w:val="20"/>
          <w:szCs w:val="20"/>
        </w:rPr>
        <w:t xml:space="preserve">Proposal 1: It is recommended that the support of V2X services using broadcast / multicast over NR Uu interface in the downlink is to be discussed in a separate RAN SI/WI. </w:t>
      </w:r>
    </w:p>
    <w:p w14:paraId="21AB98CE" w14:textId="77777777" w:rsidR="00C5569D" w:rsidRPr="004A03BC" w:rsidRDefault="00C5569D" w:rsidP="00C5569D">
      <w:pPr>
        <w:rPr>
          <w:b/>
          <w:i/>
          <w:color w:val="000000" w:themeColor="text1"/>
          <w:sz w:val="20"/>
          <w:szCs w:val="20"/>
        </w:rPr>
      </w:pPr>
    </w:p>
    <w:p w14:paraId="0277A3C4" w14:textId="77777777" w:rsidR="004A03BC" w:rsidRPr="004A03BC" w:rsidRDefault="004A03BC" w:rsidP="004A03BC">
      <w:pPr>
        <w:spacing w:after="240"/>
        <w:rPr>
          <w:b/>
          <w:i/>
          <w:color w:val="000000" w:themeColor="text1"/>
          <w:sz w:val="20"/>
          <w:szCs w:val="20"/>
        </w:rPr>
      </w:pPr>
      <w:r w:rsidRPr="004A03BC">
        <w:rPr>
          <w:b/>
          <w:i/>
          <w:color w:val="000000" w:themeColor="text1"/>
          <w:sz w:val="20"/>
          <w:szCs w:val="20"/>
        </w:rPr>
        <w:t>Proposal 2: It is recommended NR should also support having multiple active DL SPS processes.</w:t>
      </w:r>
    </w:p>
    <w:p w14:paraId="17254F1C" w14:textId="77777777" w:rsidR="004A03BC" w:rsidRPr="004A03BC" w:rsidRDefault="004A03BC" w:rsidP="004A03BC">
      <w:pPr>
        <w:rPr>
          <w:b/>
          <w:i/>
          <w:color w:val="000000" w:themeColor="text1"/>
          <w:sz w:val="20"/>
          <w:szCs w:val="20"/>
        </w:rPr>
      </w:pPr>
      <w:r w:rsidRPr="004A03BC">
        <w:rPr>
          <w:b/>
          <w:i/>
          <w:color w:val="000000" w:themeColor="text1"/>
          <w:sz w:val="20"/>
          <w:szCs w:val="20"/>
        </w:rPr>
        <w:t xml:space="preserve">Proposal 3: </w:t>
      </w:r>
      <w:r w:rsidRPr="004A03BC">
        <w:rPr>
          <w:rFonts w:hint="eastAsia"/>
          <w:b/>
          <w:i/>
          <w:color w:val="000000" w:themeColor="text1"/>
          <w:sz w:val="20"/>
          <w:szCs w:val="20"/>
          <w:lang w:val="en-AU"/>
        </w:rPr>
        <w:t>UE reporting over Uu of sidelink traffic-related information</w:t>
      </w:r>
      <w:r w:rsidRPr="004A03BC">
        <w:rPr>
          <w:b/>
          <w:i/>
          <w:color w:val="000000" w:themeColor="text1"/>
          <w:sz w:val="20"/>
          <w:szCs w:val="20"/>
          <w:lang w:val="en-AU"/>
        </w:rPr>
        <w:t xml:space="preserve"> could include </w:t>
      </w:r>
      <w:r w:rsidRPr="004A03BC">
        <w:rPr>
          <w:rFonts w:hint="eastAsia"/>
          <w:b/>
          <w:i/>
          <w:color w:val="000000" w:themeColor="text1"/>
          <w:sz w:val="20"/>
          <w:szCs w:val="20"/>
          <w:lang w:val="en-US"/>
        </w:rPr>
        <w:t>Traffic periodicity, timing offset, message size and latency (if known)</w:t>
      </w:r>
      <w:r w:rsidRPr="004A03BC">
        <w:rPr>
          <w:b/>
          <w:i/>
          <w:color w:val="000000" w:themeColor="text1"/>
          <w:sz w:val="20"/>
          <w:szCs w:val="20"/>
          <w:lang w:val="en-US"/>
        </w:rPr>
        <w:t xml:space="preserve">, </w:t>
      </w:r>
      <w:r w:rsidRPr="004A03BC">
        <w:rPr>
          <w:rFonts w:hint="eastAsia"/>
          <w:b/>
          <w:i/>
          <w:color w:val="000000" w:themeColor="text1"/>
          <w:sz w:val="20"/>
          <w:szCs w:val="20"/>
          <w:lang w:val="en-US"/>
        </w:rPr>
        <w:t>CBR per resource pool</w:t>
      </w:r>
      <w:r w:rsidRPr="004A03BC">
        <w:rPr>
          <w:b/>
          <w:i/>
          <w:color w:val="000000" w:themeColor="text1"/>
          <w:sz w:val="20"/>
          <w:szCs w:val="20"/>
          <w:lang w:val="en-US"/>
        </w:rPr>
        <w:t>, and a</w:t>
      </w:r>
      <w:r w:rsidRPr="004A03BC">
        <w:rPr>
          <w:rFonts w:hint="eastAsia"/>
          <w:b/>
          <w:i/>
          <w:color w:val="000000" w:themeColor="text1"/>
          <w:sz w:val="20"/>
          <w:szCs w:val="20"/>
          <w:lang w:val="en-US"/>
        </w:rPr>
        <w:t>vailable resources (e.g. S</w:t>
      </w:r>
      <w:r w:rsidRPr="004A03BC">
        <w:rPr>
          <w:rFonts w:hint="eastAsia"/>
          <w:b/>
          <w:i/>
          <w:color w:val="000000" w:themeColor="text1"/>
          <w:sz w:val="20"/>
          <w:szCs w:val="20"/>
          <w:vertAlign w:val="subscript"/>
          <w:lang w:val="en-US"/>
        </w:rPr>
        <w:t>B</w:t>
      </w:r>
      <w:r w:rsidRPr="004A03BC">
        <w:rPr>
          <w:rFonts w:hint="eastAsia"/>
          <w:b/>
          <w:i/>
          <w:color w:val="000000" w:themeColor="text1"/>
          <w:sz w:val="20"/>
          <w:szCs w:val="20"/>
          <w:lang w:val="en-US"/>
        </w:rPr>
        <w:t xml:space="preserve"> in LTE) for mode 1 and mode 2 resource pool sharing</w:t>
      </w:r>
      <w:r w:rsidRPr="004A03BC">
        <w:rPr>
          <w:b/>
          <w:i/>
          <w:color w:val="000000" w:themeColor="text1"/>
          <w:sz w:val="20"/>
          <w:szCs w:val="20"/>
          <w:lang w:val="en-US"/>
        </w:rPr>
        <w:t>.</w:t>
      </w:r>
    </w:p>
    <w:p w14:paraId="515C510F" w14:textId="77777777" w:rsidR="008F22BA" w:rsidRPr="004A03BC" w:rsidRDefault="008F22BA" w:rsidP="00BC0557">
      <w:pPr>
        <w:rPr>
          <w:sz w:val="20"/>
          <w:szCs w:val="20"/>
        </w:rPr>
      </w:pPr>
    </w:p>
    <w:p w14:paraId="37E830A0" w14:textId="77777777" w:rsidR="00BC0557" w:rsidRPr="004A03BC" w:rsidRDefault="00BC0557" w:rsidP="00BC0557">
      <w:pPr>
        <w:spacing w:after="120"/>
        <w:rPr>
          <w:b/>
          <w:sz w:val="20"/>
          <w:szCs w:val="20"/>
        </w:rPr>
      </w:pPr>
      <w:r w:rsidRPr="004A03BC">
        <w:rPr>
          <w:b/>
          <w:sz w:val="20"/>
          <w:szCs w:val="20"/>
        </w:rPr>
        <w:t>4. References</w:t>
      </w:r>
    </w:p>
    <w:p w14:paraId="1E2950F2" w14:textId="2BE1B4D7" w:rsidR="00BC0557" w:rsidRPr="004A03BC" w:rsidRDefault="00BC0557" w:rsidP="00BC0557">
      <w:pPr>
        <w:spacing w:after="60"/>
        <w:rPr>
          <w:color w:val="000000" w:themeColor="text1"/>
          <w:sz w:val="20"/>
          <w:szCs w:val="20"/>
        </w:rPr>
      </w:pPr>
      <w:r w:rsidRPr="004A03BC">
        <w:rPr>
          <w:color w:val="000000" w:themeColor="text1"/>
          <w:sz w:val="20"/>
          <w:szCs w:val="20"/>
        </w:rPr>
        <w:t>[</w:t>
      </w:r>
      <w:r w:rsidR="005A3678" w:rsidRPr="004A03BC">
        <w:rPr>
          <w:color w:val="000000" w:themeColor="text1"/>
          <w:sz w:val="20"/>
          <w:szCs w:val="20"/>
        </w:rPr>
        <w:t>1</w:t>
      </w:r>
      <w:r w:rsidRPr="004A03BC">
        <w:rPr>
          <w:color w:val="000000" w:themeColor="text1"/>
          <w:sz w:val="20"/>
          <w:szCs w:val="20"/>
        </w:rPr>
        <w:t xml:space="preserve">] </w:t>
      </w:r>
      <w:r w:rsidR="007C0507" w:rsidRPr="004A03BC">
        <w:rPr>
          <w:color w:val="000000" w:themeColor="text1"/>
          <w:sz w:val="20"/>
          <w:szCs w:val="20"/>
        </w:rPr>
        <w:t>RAN1</w:t>
      </w:r>
      <w:r w:rsidR="00B23EA2" w:rsidRPr="004A03BC">
        <w:rPr>
          <w:color w:val="000000" w:themeColor="text1"/>
          <w:sz w:val="20"/>
          <w:szCs w:val="20"/>
        </w:rPr>
        <w:t>-AH</w:t>
      </w:r>
      <w:r w:rsidR="007C0507" w:rsidRPr="004A03BC">
        <w:rPr>
          <w:color w:val="000000" w:themeColor="text1"/>
          <w:sz w:val="20"/>
          <w:szCs w:val="20"/>
        </w:rPr>
        <w:t>#</w:t>
      </w:r>
      <w:r w:rsidR="00B23EA2" w:rsidRPr="004A03BC">
        <w:rPr>
          <w:color w:val="000000" w:themeColor="text1"/>
          <w:sz w:val="20"/>
          <w:szCs w:val="20"/>
        </w:rPr>
        <w:t>1901</w:t>
      </w:r>
      <w:r w:rsidR="007C0507" w:rsidRPr="004A03BC">
        <w:rPr>
          <w:color w:val="000000" w:themeColor="text1"/>
          <w:sz w:val="20"/>
          <w:szCs w:val="20"/>
        </w:rPr>
        <w:t xml:space="preserve"> Chairman’s notes (final version)</w:t>
      </w:r>
    </w:p>
    <w:sectPr w:rsidR="00BC0557" w:rsidRPr="004A03B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63BB5" w14:textId="77777777" w:rsidR="00B7784A" w:rsidRDefault="00B7784A" w:rsidP="00511BDE">
      <w:r>
        <w:separator/>
      </w:r>
    </w:p>
  </w:endnote>
  <w:endnote w:type="continuationSeparator" w:id="0">
    <w:p w14:paraId="25157CD4" w14:textId="77777777" w:rsidR="00B7784A" w:rsidRDefault="00B7784A"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24BF8" w14:textId="77777777" w:rsidR="00B7784A" w:rsidRDefault="00B7784A" w:rsidP="00511BDE">
      <w:r>
        <w:separator/>
      </w:r>
    </w:p>
  </w:footnote>
  <w:footnote w:type="continuationSeparator" w:id="0">
    <w:p w14:paraId="25014981" w14:textId="77777777" w:rsidR="00B7784A" w:rsidRDefault="00B7784A"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0"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0"/>
  </w:num>
  <w:num w:numId="4">
    <w:abstractNumId w:val="6"/>
  </w:num>
  <w:num w:numId="5">
    <w:abstractNumId w:val="2"/>
  </w:num>
  <w:num w:numId="6">
    <w:abstractNumId w:val="6"/>
  </w:num>
  <w:num w:numId="7">
    <w:abstractNumId w:val="6"/>
  </w:num>
  <w:num w:numId="8">
    <w:abstractNumId w:val="6"/>
  </w:num>
  <w:num w:numId="9">
    <w:abstractNumId w:val="6"/>
  </w:num>
  <w:num w:numId="10">
    <w:abstractNumId w:val="9"/>
  </w:num>
  <w:num w:numId="11">
    <w:abstractNumId w:val="12"/>
  </w:num>
  <w:num w:numId="12">
    <w:abstractNumId w:val="0"/>
  </w:num>
  <w:num w:numId="13">
    <w:abstractNumId w:val="1"/>
  </w:num>
  <w:num w:numId="14">
    <w:abstractNumId w:val="7"/>
  </w:num>
  <w:num w:numId="15">
    <w:abstractNumId w:val="8"/>
  </w:num>
  <w:num w:numId="16">
    <w:abstractNumId w:val="5"/>
  </w:num>
  <w:num w:numId="17">
    <w:abstractNumId w:val="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6EB6"/>
    <w:rsid w:val="00015C61"/>
    <w:rsid w:val="00023304"/>
    <w:rsid w:val="00036438"/>
    <w:rsid w:val="000416C0"/>
    <w:rsid w:val="00046E6C"/>
    <w:rsid w:val="000646BE"/>
    <w:rsid w:val="000824A2"/>
    <w:rsid w:val="00096409"/>
    <w:rsid w:val="000F4718"/>
    <w:rsid w:val="0011674C"/>
    <w:rsid w:val="00122C28"/>
    <w:rsid w:val="001234F4"/>
    <w:rsid w:val="00172616"/>
    <w:rsid w:val="00183059"/>
    <w:rsid w:val="0018639A"/>
    <w:rsid w:val="001C4931"/>
    <w:rsid w:val="001C4A2A"/>
    <w:rsid w:val="001D6275"/>
    <w:rsid w:val="001E6977"/>
    <w:rsid w:val="002347E5"/>
    <w:rsid w:val="002512F3"/>
    <w:rsid w:val="00282ADD"/>
    <w:rsid w:val="00290D60"/>
    <w:rsid w:val="00290F4A"/>
    <w:rsid w:val="0029653E"/>
    <w:rsid w:val="002A09BD"/>
    <w:rsid w:val="002A4183"/>
    <w:rsid w:val="002A6143"/>
    <w:rsid w:val="002F480D"/>
    <w:rsid w:val="00311E4D"/>
    <w:rsid w:val="0031286C"/>
    <w:rsid w:val="00327432"/>
    <w:rsid w:val="00390468"/>
    <w:rsid w:val="00395A18"/>
    <w:rsid w:val="003A1784"/>
    <w:rsid w:val="003A4353"/>
    <w:rsid w:val="003F01D2"/>
    <w:rsid w:val="00437571"/>
    <w:rsid w:val="00446597"/>
    <w:rsid w:val="00472914"/>
    <w:rsid w:val="00472CC7"/>
    <w:rsid w:val="004919B6"/>
    <w:rsid w:val="004A03BC"/>
    <w:rsid w:val="004B2974"/>
    <w:rsid w:val="004E7C9C"/>
    <w:rsid w:val="004F35D2"/>
    <w:rsid w:val="0051049B"/>
    <w:rsid w:val="00511BDE"/>
    <w:rsid w:val="00536FA5"/>
    <w:rsid w:val="00553532"/>
    <w:rsid w:val="00561A1F"/>
    <w:rsid w:val="0058130A"/>
    <w:rsid w:val="00594422"/>
    <w:rsid w:val="005A3678"/>
    <w:rsid w:val="005B5979"/>
    <w:rsid w:val="005C7D1E"/>
    <w:rsid w:val="005D56DF"/>
    <w:rsid w:val="005E3141"/>
    <w:rsid w:val="006251B5"/>
    <w:rsid w:val="00631E16"/>
    <w:rsid w:val="006432B0"/>
    <w:rsid w:val="006749EC"/>
    <w:rsid w:val="00686047"/>
    <w:rsid w:val="006D4CD1"/>
    <w:rsid w:val="006E0CEC"/>
    <w:rsid w:val="006E1142"/>
    <w:rsid w:val="006F5CF2"/>
    <w:rsid w:val="007069E1"/>
    <w:rsid w:val="00723C4C"/>
    <w:rsid w:val="00756A23"/>
    <w:rsid w:val="00797939"/>
    <w:rsid w:val="007A15B3"/>
    <w:rsid w:val="007A430C"/>
    <w:rsid w:val="007A787E"/>
    <w:rsid w:val="007B0977"/>
    <w:rsid w:val="007C0507"/>
    <w:rsid w:val="007D6B9A"/>
    <w:rsid w:val="00842B4E"/>
    <w:rsid w:val="008466AB"/>
    <w:rsid w:val="00852251"/>
    <w:rsid w:val="008542F0"/>
    <w:rsid w:val="0086661D"/>
    <w:rsid w:val="0086720B"/>
    <w:rsid w:val="0087257C"/>
    <w:rsid w:val="00873221"/>
    <w:rsid w:val="008A335B"/>
    <w:rsid w:val="008A5454"/>
    <w:rsid w:val="008B7BA5"/>
    <w:rsid w:val="008C041D"/>
    <w:rsid w:val="008C3113"/>
    <w:rsid w:val="008E12E9"/>
    <w:rsid w:val="008F22BA"/>
    <w:rsid w:val="00923CFE"/>
    <w:rsid w:val="00932048"/>
    <w:rsid w:val="009452C1"/>
    <w:rsid w:val="00947377"/>
    <w:rsid w:val="00947BB5"/>
    <w:rsid w:val="00980EE0"/>
    <w:rsid w:val="009962B2"/>
    <w:rsid w:val="009A2560"/>
    <w:rsid w:val="009C3461"/>
    <w:rsid w:val="009C5678"/>
    <w:rsid w:val="009C79F1"/>
    <w:rsid w:val="009D7E42"/>
    <w:rsid w:val="00A028D8"/>
    <w:rsid w:val="00A03E4B"/>
    <w:rsid w:val="00A34419"/>
    <w:rsid w:val="00A37703"/>
    <w:rsid w:val="00A559E1"/>
    <w:rsid w:val="00A71DA6"/>
    <w:rsid w:val="00A76D8F"/>
    <w:rsid w:val="00A82BB2"/>
    <w:rsid w:val="00A8338A"/>
    <w:rsid w:val="00A956A2"/>
    <w:rsid w:val="00AB022F"/>
    <w:rsid w:val="00AC3DEB"/>
    <w:rsid w:val="00AC5E18"/>
    <w:rsid w:val="00AE3D30"/>
    <w:rsid w:val="00AF683C"/>
    <w:rsid w:val="00B04603"/>
    <w:rsid w:val="00B22099"/>
    <w:rsid w:val="00B23EA2"/>
    <w:rsid w:val="00B30E14"/>
    <w:rsid w:val="00B4302D"/>
    <w:rsid w:val="00B516E2"/>
    <w:rsid w:val="00B63125"/>
    <w:rsid w:val="00B72B9C"/>
    <w:rsid w:val="00B7784A"/>
    <w:rsid w:val="00B94420"/>
    <w:rsid w:val="00BB1780"/>
    <w:rsid w:val="00BC0557"/>
    <w:rsid w:val="00BD6D85"/>
    <w:rsid w:val="00BE2A3B"/>
    <w:rsid w:val="00BE4DC5"/>
    <w:rsid w:val="00C144FC"/>
    <w:rsid w:val="00C305C2"/>
    <w:rsid w:val="00C31FF2"/>
    <w:rsid w:val="00C352D1"/>
    <w:rsid w:val="00C51B72"/>
    <w:rsid w:val="00C5569D"/>
    <w:rsid w:val="00CA0AA3"/>
    <w:rsid w:val="00CB2B91"/>
    <w:rsid w:val="00CD7525"/>
    <w:rsid w:val="00D12DF2"/>
    <w:rsid w:val="00D1518D"/>
    <w:rsid w:val="00D34D2E"/>
    <w:rsid w:val="00D435E6"/>
    <w:rsid w:val="00D715A7"/>
    <w:rsid w:val="00D71A65"/>
    <w:rsid w:val="00D71B94"/>
    <w:rsid w:val="00DA4FAB"/>
    <w:rsid w:val="00DA5222"/>
    <w:rsid w:val="00DC1F83"/>
    <w:rsid w:val="00DD2240"/>
    <w:rsid w:val="00E23402"/>
    <w:rsid w:val="00E64289"/>
    <w:rsid w:val="00E926B4"/>
    <w:rsid w:val="00E96E5D"/>
    <w:rsid w:val="00EE3CC6"/>
    <w:rsid w:val="00EE40AD"/>
    <w:rsid w:val="00F04F5B"/>
    <w:rsid w:val="00F10BED"/>
    <w:rsid w:val="00F43AB1"/>
    <w:rsid w:val="00F52ACA"/>
    <w:rsid w:val="00F5580C"/>
    <w:rsid w:val="00F92EC0"/>
    <w:rsid w:val="00FA0D39"/>
    <w:rsid w:val="00FB6004"/>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499</TotalTime>
  <Pages>2</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Discussion on NR Uu enhancements for NR-V2X</vt:lpstr>
    </vt:vector>
  </TitlesOfParts>
  <Company>Guangdong OPPO Mobile Telecom</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enhancements on NR Uu for NR-V2X</dc:title>
  <dc:subject>NR-V2X Coexistence</dc:subject>
  <dc:creator>Kevin.Lin@oppo.com</dc:creator>
  <cp:keywords/>
  <dc:description>Final version for submission</dc:description>
  <cp:lastModifiedBy>Kevin Lin</cp:lastModifiedBy>
  <cp:revision>50</cp:revision>
  <dcterms:created xsi:type="dcterms:W3CDTF">2019-01-08T08:05:00Z</dcterms:created>
  <dcterms:modified xsi:type="dcterms:W3CDTF">2019-02-15T12:40:00Z</dcterms:modified>
</cp:coreProperties>
</file>